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咸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73452" cy="1046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452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