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荆</w:t>
      </w:r>
      <w:r>
        <w:rPr>
          <w:rFonts w:ascii="Times New Roman" w:hAnsi="Times New Roman" w:eastAsia="宋体"/>
          <w:b w:val="0"/>
          <w:sz w:val="23"/>
        </w:rPr>
        <w:t>门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倾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71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哪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