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根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  <w:sz w:val="23"/>
        </w:rPr>
        <w:t>够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者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像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5090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509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6292" cy="8839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292" cy="883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6292" cy="9403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292" cy="94030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