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1872" cy="1129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129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