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攀</w:t>
      </w:r>
      <w:r>
        <w:rPr>
          <w:rFonts w:ascii="Times New Roman" w:hAnsi="Times New Roman" w:eastAsia="宋体"/>
          <w:b w:val="0"/>
          <w:sz w:val="23"/>
        </w:rPr>
        <w:t>枝</w:t>
      </w:r>
      <w:r>
        <w:rPr>
          <w:rFonts w:ascii="Times New Roman" w:hAnsi="Times New Roman" w:eastAsia="宋体"/>
          <w:b w:val="0"/>
          <w:sz w:val="23"/>
        </w:rPr>
        <w:t>花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菱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菱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∠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丙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丁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戊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四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请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四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己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71216" cy="957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957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95016" cy="883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