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甲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随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律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乙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除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余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状</w:t>
      </w:r>
      <w:r>
        <w:rPr>
          <w:rFonts w:ascii="Times New Roman" w:hAnsi="Times New Roman" w:eastAsia="宋体"/>
          <w:b w:val="0"/>
          <w:sz w:val="23"/>
        </w:rPr>
        <w:t>态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→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i/>
          <w:sz w:val="23"/>
        </w:rPr>
        <w:t>~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i/>
          <w:sz w:val="23"/>
        </w:rPr>
        <w:t>t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反</w:t>
      </w:r>
      <w:r>
        <w:rPr>
          <w:rFonts w:ascii="Times New Roman" w:hAnsi="Times New Roman" w:eastAsia="宋体"/>
          <w:b w:val="0"/>
          <w:sz w:val="23"/>
        </w:rPr>
        <w:t>映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63724" cy="1005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3724" cy="1005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357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357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0241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0241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