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蓉</w:t>
      </w:r>
      <w:r>
        <w:rPr>
          <w:rFonts w:ascii="Times New Roman" w:hAnsi="Times New Roman" w:eastAsia="宋体"/>
          <w:b w:val="0"/>
          <w:sz w:val="23"/>
        </w:rPr>
        <w:t>城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教</w:t>
      </w:r>
      <w:r>
        <w:rPr>
          <w:rFonts w:ascii="Times New Roman" w:hAnsi="Times New Roman" w:eastAsia="宋体"/>
          <w:b w:val="0"/>
          <w:sz w:val="23"/>
        </w:rPr>
        <w:t>育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矩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单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侧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映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像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6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6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30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30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12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12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