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17064" cy="960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064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