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2023222ZK15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南</w:t>
      </w:r>
      <w:r>
        <w:rPr>
          <w:rFonts w:ascii="Times New Roman" w:hAnsi="Times New Roman" w:eastAsia="宋体"/>
          <w:b w:val="0"/>
        </w:rPr>
        <w:t>京</w:t>
      </w:r>
      <w:r>
        <w:rPr>
          <w:rFonts w:ascii="Times New Roman" w:hAnsi="Times New Roman" w:eastAsia="宋体"/>
          <w:b w:val="0"/>
        </w:rPr>
        <w:t>师</w:t>
      </w:r>
      <w:r>
        <w:rPr>
          <w:rFonts w:ascii="Times New Roman" w:hAnsi="Times New Roman" w:eastAsia="宋体"/>
          <w:b w:val="0"/>
        </w:rPr>
        <w:t>范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附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扬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让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i/>
        </w:rPr>
        <w:t>'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未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440180" cy="89763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89763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i/>
        </w:rPr>
        <w:t>'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刚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 xml:space="preserve"> 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焦</w:t>
      </w:r>
      <w:r>
        <w:rPr>
          <w:rFonts w:ascii="Times New Roman" w:hAnsi="Times New Roman" w:eastAsia="宋体"/>
          <w:b w:val="0"/>
        </w:rPr>
        <w:t>耳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刚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