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揭</w:t>
      </w:r>
      <w:r>
        <w:rPr>
          <w:rFonts w:ascii="Times New Roman" w:hAnsi="Times New Roman" w:eastAsia="宋体"/>
          <w:b w:val="0"/>
          <w:sz w:val="23"/>
        </w:rPr>
        <w:t>阳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螺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箭</w:t>
      </w:r>
      <w:r>
        <w:rPr>
          <w:rFonts w:ascii="Times New Roman" w:hAnsi="Times New Roman" w:eastAsia="宋体"/>
          <w:b w:val="0"/>
          <w:sz w:val="23"/>
        </w:rPr>
        <w:t>头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螺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框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螺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按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424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往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缩</w:t>
      </w:r>
      <w:r>
        <w:rPr>
          <w:rFonts w:ascii="Times New Roman" w:hAnsi="Times New Roman" w:eastAsia="宋体"/>
          <w:b w:val="0"/>
          <w:sz w:val="23"/>
        </w:rPr>
        <w:t>趋</w:t>
      </w:r>
      <w:r>
        <w:rPr>
          <w:rFonts w:ascii="Times New Roman" w:hAnsi="Times New Roman" w:eastAsia="宋体"/>
          <w:b w:val="0"/>
          <w:sz w:val="23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往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扩</w:t>
      </w:r>
      <w:r>
        <w:rPr>
          <w:rFonts w:ascii="Times New Roman" w:hAnsi="Times New Roman" w:eastAsia="宋体"/>
          <w:b w:val="0"/>
          <w:sz w:val="23"/>
        </w:rPr>
        <w:t>张</w:t>
      </w:r>
      <w:r>
        <w:rPr>
          <w:rFonts w:ascii="Times New Roman" w:hAnsi="Times New Roman" w:eastAsia="宋体"/>
          <w:b w:val="0"/>
          <w:sz w:val="23"/>
        </w:rPr>
        <w:t>趋</w:t>
      </w:r>
      <w:r>
        <w:rPr>
          <w:rFonts w:ascii="Times New Roman" w:hAnsi="Times New Roman" w:eastAsia="宋体"/>
          <w:b w:val="0"/>
          <w:sz w:val="23"/>
        </w:rPr>
        <w:t>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