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涂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依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字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57044" cy="69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044" cy="690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i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丝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