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12893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1289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K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K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K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