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20232232Z1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庆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育</w:t>
      </w:r>
      <w:r>
        <w:rPr>
          <w:rFonts w:ascii="Times New Roman" w:hAnsi="Times New Roman" w:eastAsia="宋体"/>
          <w:b w:val="0"/>
          <w:sz w:val="23"/>
        </w:rPr>
        <w:t>才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前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弦</w:t>
      </w:r>
      <w:r>
        <w:rPr>
          <w:rFonts w:ascii="Times New Roman" w:hAnsi="Times New Roman" w:eastAsia="宋体"/>
          <w:b w:val="0"/>
          <w:sz w:val="23"/>
        </w:rPr>
        <w:t>曲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37104" cy="8625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7104" cy="862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