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20232234Z1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条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横</w:t>
      </w:r>
      <w:r>
        <w:rPr>
          <w:rFonts w:ascii="Times New Roman" w:hAnsi="Times New Roman" w:eastAsia="宋体"/>
          <w:b w:val="0"/>
          <w:sz w:val="23"/>
        </w:rPr>
        <w:t>截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积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损</w:t>
      </w:r>
      <w:r>
        <w:rPr>
          <w:rFonts w:ascii="Times New Roman" w:hAnsi="Times New Roman" w:eastAsia="宋体"/>
          <w:b w:val="0"/>
          <w:sz w:val="23"/>
        </w:rPr>
        <w:t>耗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户</w:t>
      </w:r>
      <w:r>
        <w:rPr>
          <w:rFonts w:ascii="Times New Roman" w:hAnsi="Times New Roman" w:eastAsia="宋体"/>
          <w:b w:val="0"/>
          <w:sz w:val="23"/>
        </w:rPr>
        <w:t>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式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PρL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S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S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ρL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ρL</m:t>
            </m:r>
          </m:num>
          <m:den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S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S</m:t>
            </m:r>
          </m:num>
          <m:den>
            <m:r>
              <w:rPr>
                <w:rFonts w:ascii="Times New Roman" w:eastAsia="宋体"/>
              </w:rPr>
              <m:t>ρL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