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徽</w:t>
      </w:r>
      <w:r>
        <w:rPr>
          <w:rFonts w:ascii="Times New Roman" w:hAnsi="Times New Roman" w:eastAsia="宋体"/>
          <w:b w:val="0"/>
          <w:sz w:val="23"/>
        </w:rPr>
        <w:t>师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我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济</w:t>
      </w:r>
      <w:r>
        <w:rPr>
          <w:rFonts w:ascii="Times New Roman" w:hAnsi="Times New Roman" w:eastAsia="宋体"/>
          <w:b w:val="0"/>
          <w:sz w:val="23"/>
        </w:rPr>
        <w:t>跨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续</w:t>
      </w:r>
      <w:r>
        <w:rPr>
          <w:rFonts w:ascii="Times New Roman" w:hAnsi="Times New Roman" w:eastAsia="宋体"/>
          <w:b w:val="0"/>
          <w:sz w:val="23"/>
        </w:rPr>
        <w:t>快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模</w:t>
      </w:r>
      <w:r>
        <w:rPr>
          <w:rFonts w:ascii="Times New Roman" w:hAnsi="Times New Roman" w:eastAsia="宋体"/>
          <w:b w:val="0"/>
          <w:sz w:val="23"/>
        </w:rPr>
        <w:t>拟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4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02408" cy="1057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408" cy="1057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维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4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