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08988" cy="1133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988" cy="1133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