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20232241K7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荡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π</w:t>
      </w:r>
      <m:oMath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LC</m:t>
            </m:r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LC</m:t>
            </m:r>
          </m:e>
        </m:rad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在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LC</m:t>
            </m:r>
          </m:e>
        </m:rad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是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sSub>
              <m:sSubPr>
                <m:ctrlPr>
                  <w:rPr>
                    <w:rFonts w:ascii="Times New Roman" w:eastAsia="宋体"/>
                  </w:rPr>
                </m:ctrlPr>
              </m:sSubPr>
              <m:e>
                <m:r>
                  <w:rPr>
                    <w:rFonts w:ascii="Times New Roman" w:eastAsia="宋体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Times New Roman" w:eastAsia="宋体"/>
                  </w:rPr>
                  <m:t>m</m:t>
                </m:r>
              </m:sub>
            </m:sSub>
          </m:num>
          <m:den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f>
              <m:fPr>
                <m:ctrlPr>
                  <w:rPr>
                    <w:rFonts w:ascii="Times New Roman" w:eastAsia="宋体"/>
                  </w:rPr>
                </m:ctrlPr>
              </m:fPr>
              <m:num>
                <m:r>
                  <w:rPr>
                    <w:rFonts w:ascii="Times New Roman" w:eastAsia="宋体"/>
                  </w:rPr>
                  <m:t>C</m:t>
                </m:r>
              </m:num>
              <m:den>
                <m:r>
                  <w:rPr>
                    <w:rFonts w:ascii="Times New Roman" w:eastAsia="宋体"/>
                  </w:rPr>
                  <m:t>L</m:t>
                </m:r>
              </m:den>
            </m:f>
          </m:e>
        </m:rad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在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π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  <m:rad>
          <m:radPr>
            <m:degHide m:val="1"/>
            <m:ctrlPr>
              <w:rPr>
                <w:rFonts w:ascii="Times New Roman" w:eastAsia="宋体"/>
              </w:rPr>
            </m:ctrlPr>
          </m:radPr>
          <m:e>
            <m:r>
              <w:rPr>
                <w:rFonts w:ascii="Times New Roman" w:eastAsia="宋体"/>
              </w:rPr>
              <m:t>LC</m:t>
            </m:r>
          </m:e>
        </m:rad>
      </m:oMath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  <w:vertAlign w:val="subscript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