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3356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356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完</w:t>
      </w:r>
      <w:r>
        <w:rPr>
          <w:rFonts w:ascii="Times New Roman" w:hAnsi="Times New Roman" w:eastAsia="宋体"/>
          <w:b w:val="0"/>
          <w:sz w:val="23"/>
        </w:rPr>
        <w:t>毕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