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玩</w:t>
      </w:r>
      <w:r>
        <w:rPr>
          <w:rFonts w:ascii="Times New Roman" w:hAnsi="Times New Roman" w:eastAsia="宋体"/>
          <w:b w:val="0"/>
          <w:sz w:val="23"/>
        </w:rPr>
        <w:t>具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声</w:t>
      </w:r>
      <w:r>
        <w:rPr>
          <w:rFonts w:ascii="Times New Roman" w:hAnsi="Times New Roman" w:eastAsia="宋体"/>
          <w:b w:val="0"/>
          <w:sz w:val="23"/>
        </w:rPr>
        <w:t>响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玩</w:t>
      </w:r>
      <w:r>
        <w:rPr>
          <w:rFonts w:ascii="Times New Roman" w:hAnsi="Times New Roman" w:eastAsia="宋体"/>
          <w:b w:val="0"/>
          <w:sz w:val="23"/>
        </w:rPr>
        <w:t>具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×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-</w:t>
      </w:r>
      <w:r>
        <w:rPr>
          <w:rFonts w:ascii="Times New Roman" w:hAnsi="Times New Roman" w:eastAsia="宋体"/>
          <w:b w:val="0"/>
          <w:sz w:val="23"/>
          <w:vertAlign w:val="superscript"/>
        </w:rPr>
        <w:t>3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μ</w:t>
      </w:r>
      <w:r>
        <w:rPr>
          <w:rFonts w:ascii="Times New Roman" w:hAnsi="Times New Roman" w:eastAsia="宋体"/>
          <w:b w:val="0"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取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824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824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π</w:t>
      </w:r>
      <w:r>
        <w:rPr>
          <w:rFonts w:ascii="Times New Roman" w:hAnsi="Times New Roman" w:eastAsia="宋体"/>
          <w:b w:val="0"/>
          <w:sz w:val="23"/>
        </w:rPr>
        <w:t>×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-</w:t>
      </w:r>
      <w:r>
        <w:rPr>
          <w:rFonts w:ascii="Times New Roman" w:hAnsi="Times New Roman" w:eastAsia="宋体"/>
          <w:b w:val="0"/>
          <w:sz w:val="23"/>
          <w:vertAlign w:val="superscript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π</w:t>
      </w:r>
      <w:r>
        <w:rPr>
          <w:rFonts w:ascii="Times New Roman" w:hAnsi="Times New Roman" w:eastAsia="宋体"/>
          <w:b w:val="0"/>
          <w:sz w:val="23"/>
        </w:rPr>
        <w:t>×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-</w:t>
      </w:r>
      <w:r>
        <w:rPr>
          <w:rFonts w:ascii="Times New Roman" w:hAnsi="Times New Roman" w:eastAsia="宋体"/>
          <w:b w:val="0"/>
          <w:sz w:val="23"/>
          <w:vertAlign w:val="superscript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×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-</w:t>
      </w:r>
      <w:r>
        <w:rPr>
          <w:rFonts w:ascii="Times New Roman" w:hAnsi="Times New Roman" w:eastAsia="宋体"/>
          <w:b w:val="0"/>
          <w:sz w:val="23"/>
          <w:vertAlign w:val="superscript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×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-</w:t>
      </w:r>
      <w:r>
        <w:rPr>
          <w:rFonts w:ascii="Times New Roman" w:hAnsi="Times New Roman" w:eastAsia="宋体"/>
          <w:b w:val="0"/>
          <w:sz w:val="23"/>
          <w:vertAlign w:val="superscript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