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简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遥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许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领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95144" cy="96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