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承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44496" cy="1031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4496" cy="1031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3244" cy="1363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244" cy="1363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雾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灾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雾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灾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报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熨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熨</w:t>
      </w:r>
      <w:r>
        <w:rPr>
          <w:rFonts w:ascii="Times New Roman" w:hAnsi="Times New Roman" w:eastAsia="宋体"/>
          <w:b w:val="0"/>
        </w:rPr>
        <w:t>烫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绸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钮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熨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膨</w:t>
      </w:r>
      <w:r>
        <w:rPr>
          <w:rFonts w:ascii="Times New Roman" w:hAnsi="Times New Roman" w:eastAsia="宋体"/>
          <w:b w:val="0"/>
        </w:rPr>
        <w:t>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