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陶</w:t>
      </w:r>
      <w:r>
        <w:rPr>
          <w:rFonts w:ascii="Times New Roman" w:hAnsi="Times New Roman" w:eastAsia="宋体"/>
          <w:b w:val="0"/>
        </w:rPr>
        <w:t>瓷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19884" cy="9677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9884" cy="967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