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A20231251K13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14172" cy="6446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172" cy="6446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