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58724" cy="10622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1062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