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,h</w:instrText>
      </w:r>
      <w:r>
        <w:rPr>
          <w:rFonts w:ascii="Times New Roman" w:hAnsi="Times New Roman" w:eastAsia="宋体"/>
          <w:b w:val="0"/>
        </w:rPr>
        <w:instrText xml:space="preserve">tan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tan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gr,</w:instrText>
      </w:r>
      <w:r>
        <w:rPr>
          <w:rFonts w:ascii="Times New Roman" w:hAnsi="Times New Roman" w:eastAsia="宋体"/>
          <w:b w:val="0"/>
        </w:rPr>
        <w:instrText xml:space="preserve">tan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g,r</w:instrText>
      </w:r>
      <w:r>
        <w:rPr>
          <w:rFonts w:ascii="Times New Roman" w:hAnsi="Times New Roman" w:eastAsia="宋体"/>
          <w:b w:val="0"/>
        </w:rPr>
        <w:instrText xml:space="preserve">tan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