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A202313103L5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  <w:i/>
          <w:vertAlign w:val="subscript"/>
        </w:rPr>
        <w:t>P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  <w:i/>
          <w:vertAlign w:val="subscript"/>
        </w:rPr>
        <w:t>P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AB</w:instrText>
      </w:r>
      <w:r>
        <w:rPr>
          <w:rFonts w:ascii="Times New Roman" w:hAnsi="Times New Roman" w:eastAsia="宋体"/>
          <w:b w:val="0"/>
          <w:i/>
        </w:rPr>
        <w:instrText xml:space="preserve">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