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A20231310Z6K10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符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108356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10835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F,m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a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称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返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i/>
        </w:rPr>
        <w:instrText xml:space="preserve">,a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i/>
        </w:rPr>
        <w:instrText xml:space="preserve">,g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