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lI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7072" cy="1091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1091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lI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