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4964" cy="960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4964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11095" cy="10165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095" cy="10165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