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A2023131231KZ1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976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976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函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纵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U,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I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1.00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1.50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0.50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|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欧</w:t>
      </w:r>
      <w:r>
        <w:rPr>
          <w:rFonts w:ascii="Times New Roman" w:hAnsi="Times New Roman" w:eastAsia="宋体"/>
          <w:b w:val="0"/>
        </w:rPr>
        <w:t>姆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203704" cy="960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3704" cy="960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A.TIF"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A.TIF"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A.TIF"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A.TIF"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测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测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V.TIF"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V.TIF"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V.TIF"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圈</w:instrText>
      </w:r>
      <w:r>
        <w:rPr>
          <w:rFonts w:ascii="Times New Roman" w:hAnsi="Times New Roman" w:eastAsia="宋体"/>
          <w:b w:val="0"/>
        </w:rPr>
        <w:instrText xml:space="preserve">V.TIF"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测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r,R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测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