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perscript"/>
        </w:rPr>
        <w:t xml:space="preserve"> 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b\lc\(\rc\)(\a\vs4\al\co1(\f(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