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A20231312ZK18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min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b\lc\|\rc\|(\a\vs4\al\co1(\f(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7.5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