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A202313132L5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投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⊥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⊥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投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⊥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⊥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⊥</w:t>
      </w:r>
      <w:r>
        <w:rPr>
          <w:rFonts w:ascii="Times New Roman" w:hAnsi="Times New Roman" w:eastAsia="宋体"/>
          <w:b w:val="0"/>
        </w:rPr>
        <w:t>″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