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f(\r(2)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\r(5)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\r(2)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f(\r(2)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\r(2)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r(5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f(\r(2)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\r(5)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\r(2)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f(\r(2)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\r(5)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\r(2)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f(\r(2)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\r(5)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\r(2)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