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89204" cy="836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8824" cy="1060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060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