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2415" cy="864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BD,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BD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OD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CD,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CD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OD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</w:instrText>
      </w:r>
      <w:r>
        <w:rPr>
          <w:rFonts w:ascii="Times New Roman" w:hAnsi="Times New Roman" w:eastAsia="宋体"/>
          <w:b w:val="0"/>
        </w:rPr>
        <w:instrText xml:space="preserve">∠</w:instrText>
      </w:r>
      <w:r>
        <w:rPr>
          <w:rFonts w:ascii="Times New Roman" w:hAnsi="Times New Roman" w:eastAsia="宋体"/>
          <w:b w:val="0"/>
          <w:i/>
        </w:rPr>
        <w:instrText xml:space="preserve">AOE,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∠</w:instrText>
      </w:r>
      <w:r>
        <w:rPr>
          <w:rFonts w:ascii="Times New Roman" w:hAnsi="Times New Roman" w:eastAsia="宋体"/>
          <w:b w:val="0"/>
          <w:i/>
        </w:rPr>
        <w:instrText xml:space="preserve">COD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