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上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上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下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下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2624" cy="682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2624" cy="6827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