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1476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i,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MO,AO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BM,AC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MO,AO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