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A2023214Z8K3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混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复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改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砖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Ⅲ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021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0210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