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75004" cy="8793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5004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