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A2023214Z8L3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99032" cy="9570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957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