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1204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204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6652" cy="6827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652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\r(3))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f(\r(3)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f(\r(3)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CO,</w:instrText>
      </w:r>
      <w:r>
        <w:rPr>
          <w:rFonts w:ascii="Times New Roman" w:hAnsi="Times New Roman" w:eastAsia="宋体"/>
          <w:b w:val="0"/>
        </w:rPr>
        <w:instrText xml:space="preserve">cos 60°)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f(\r(3)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,OF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150°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7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7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