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A20232213K2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mv</m:t>
            </m:r>
          </m:num>
          <m:den>
            <m:r>
              <w:rPr>
                <w:rFonts w:ascii="Times New Roman" w:eastAsia="宋体"/>
              </w:rPr>
              <m:t>eB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2π</m:t>
            </m:r>
            <m:r>
              <w:rPr>
                <w:rFonts w:ascii="Times New Roman" w:eastAsia="宋体"/>
              </w:rPr>
              <m:t>r</m:t>
            </m:r>
          </m:num>
          <m:den>
            <m:r>
              <w:rPr>
                <w:rFonts w:ascii="Times New Roman" w:eastAsia="宋体"/>
              </w:rPr>
              <m:t>v</m:t>
            </m:r>
          </m:den>
        </m:f>
      </m:oMath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2π</m:t>
            </m:r>
            <m:r>
              <w:rPr>
                <w:rFonts w:ascii="Times New Roman" w:eastAsia="宋体"/>
              </w:rPr>
              <m:t>m</m:t>
            </m:r>
          </m:num>
          <m:den>
            <m:r>
              <w:rPr>
                <w:rFonts w:ascii="Times New Roman" w:eastAsia="宋体"/>
              </w:rPr>
              <m:t>eB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