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A20232214L3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n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sSub>
                  <m:sSubPr/>
                  <m:e/>
                  <m:sub/>
                </m:sSub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w:rPr>
                    <w:rFonts w:ascii="Times New Roman" w:eastAsia="宋体"/>
                  </w:rPr>
                  <m:t>n</m:t>
                </m:r>
              </m:sub>
            </m:sSub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nmU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+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(</m:t>
                </m:r>
                <m:r>
                  <w:rPr>
                    <w:rFonts w:ascii="Times New Roman" w:eastAsia="宋体"/>
                  </w:rPr>
                  <m:t>n</m:t>
                </m:r>
                <m:r>
                  <m:rPr>
                    <m:sty m:val="p"/>
                  </m:rPr>
                  <w:rPr>
                    <w:rFonts w:ascii="Times New Roman" w:eastAsia="宋体"/>
                  </w:rPr>
                  <m:t>+1)</m:t>
                </m:r>
                <m:r>
                  <w:rPr>
                    <w:rFonts w:ascii="Times New Roman" w:eastAsia="宋体"/>
                  </w:rPr>
                  <m:t>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邻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+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-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</m:num>
          <m:den>
            <m:r>
              <w:rPr>
                <w:rFonts w:ascii="Times New Roman" w:eastAsia="宋体"/>
              </w:rPr>
              <m:t>B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  <m:r>
                  <w:rPr>
                    <w:rFonts w:ascii="Times New Roman" w:eastAsia="宋体"/>
                  </w:rPr>
                  <m:t>mU</m:t>
                </m:r>
              </m:num>
              <m:den>
                <m:r>
                  <w:rPr>
                    <w:rFonts w:ascii="Times New Roman" w:eastAsia="宋体"/>
                  </w:rPr>
                  <m:t>q</m:t>
                </m:r>
              </m:den>
            </m:f>
          </m:e>
        </m:rad>
        <m:r>
          <m:rPr>
            <m:sty m:val="p"/>
          </m:rPr>
          <w:rPr>
            <w:rFonts w:ascii="Times New Roman" w:eastAsia="宋体"/>
          </w:rPr>
          <m:t>(</m:t>
        </m:r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n</m:t>
            </m:r>
            <m:r>
              <m:rPr>
                <m:sty m:val="p"/>
              </m:rPr>
              <w:rPr>
                <w:rFonts w:ascii="Times New Roman" w:eastAsia="宋体"/>
              </w:rPr>
              <m:t>+1</m:t>
            </m:r>
          </m:e>
        </m:rad>
        <m:r>
          <m:rPr>
            <m:sty m:val="p"/>
          </m:rPr>
          <w:rPr>
            <w:rFonts w:ascii="Times New Roman" w:eastAsia="宋体"/>
          </w:rPr>
          <m:t>-</m:t>
        </m:r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n</m:t>
            </m:r>
          </m:e>
        </m:rad>
      </m:oMath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