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IB</m:t>
            </m:r>
          </m:num>
          <m:den>
            <m:r>
              <w:rPr>
                <w:rFonts w:ascii="Times New Roman" w:eastAsia="宋体"/>
              </w:rPr>
              <m:t>nea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