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A2023221Z5K4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  <m:r>
              <w:rPr>
                <w:rFonts w:ascii="Times New Roman" w:eastAsia="宋体"/>
              </w:rPr>
              <m:t>L</m:t>
            </m:r>
          </m:den>
        </m:f>
      </m:oMath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kEL</m:t>
            </m:r>
          </m:e>
        </m:rad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  <m:r>
              <w:rPr>
                <w:rFonts w:ascii="Times New Roman" w:eastAsia="宋体"/>
              </w:rPr>
              <m:t>EL</m:t>
            </m:r>
          </m:e>
        </m:rad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  <m:r>
              <w:rPr>
                <w:rFonts w:ascii="Times New Roman" w:eastAsia="宋体"/>
              </w:rPr>
              <m:t>L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den>
            </m:f>
            <m:r>
              <w:rPr>
                <w:rFonts w:ascii="Times New Roman" w:eastAsia="宋体"/>
              </w:rPr>
              <m:t>a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vt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at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v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at</m:t>
            </m:r>
          </m:num>
          <m:den>
            <m:r>
              <w:rPr>
                <w:rFonts w:ascii="Times New Roman" w:eastAsia="宋体"/>
              </w:rPr>
              <m:t>v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0805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0805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2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