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A2023221Z6K8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8580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858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qE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m:rPr>
                <m:sty m:val="p"/>
              </m:rPr>
              <w:rPr>
                <w:rFonts w:ascii="Times New Roman" w:eastAsia="宋体"/>
              </w:rPr>
              <m:t>(</m:t>
            </m:r>
            <m:r>
              <w:rPr>
                <w:rFonts w:ascii="Times New Roman" w:eastAsia="宋体"/>
              </w:rPr>
              <m:t>mg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qE</m:t>
            </m:r>
          </m:num>
          <m:den>
            <m:r>
              <w:rPr>
                <w:rFonts w:ascii="Times New Roman" w:eastAsia="宋体"/>
              </w:rPr>
              <m:t>mg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</m:t>
            </m:r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Bq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35964" cy="899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5964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O</w:t>
      </w:r>
      <w:r>
        <w:rPr>
          <w:rFonts w:ascii="Times New Roman" w:hAnsi="Times New Roman" w:eastAsia="宋体"/>
          <w:b w:val="0"/>
          <w:i/>
          <w:vertAlign w:val="subscript"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cos</m:t>
            </m:r>
            <m:r>
              <w:rPr>
                <w:rFonts w:ascii="Times New Roman" w:eastAsia="宋体"/>
              </w:rPr>
              <m:t>θ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y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y</m:t>
                </m:r>
              </m:sub>
            </m:sSub>
          </m:num>
          <m:den>
            <m:r>
              <w:rPr>
                <w:rFonts w:ascii="Times New Roman" w:eastAsia="宋体"/>
              </w:rPr>
              <m:t>g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Eq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x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k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m</w:t>
      </w:r>
      <m:oMath>
        <m:sSup>
          <m:sSupPr>
            <m:ctrlPr>
              <w:rPr>
                <w:rFonts w:ascii="Times New Roman" w:eastAsia="宋体"/>
              </w:rPr>
            </m:ctrlPr>
          </m:sSupPr>
          <m:e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v</m:t>
                </m:r>
              </m:e>
              <m:sub>
                <m:r>
                  <w:rPr>
                    <w:rFonts w:ascii="Times New Roman" w:eastAsia="宋体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Times New Roman" w:eastAsia="宋体"/>
              </w:rPr>
              <m:t>2</m:t>
            </m:r>
          </m:sup>
        </m:sSup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381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381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