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A2023221Z6L3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9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m:rPr>
                <m:sty m:val="p"/>
              </m:rPr>
              <w:rPr>
                <w:rFonts w:ascii="Times New Roman" w:eastAsia="宋体"/>
              </w:rPr>
              <m:t>π+1)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r>
              <w:rPr>
                <w:rFonts w:ascii="Times New Roman" w:eastAsia="宋体"/>
              </w:rPr>
              <m:t>mg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9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g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72311" cy="9464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2311" cy="9464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g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+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g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16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8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m:rPr>
                <m:sty m:val="p"/>
              </m:rPr>
              <w:rPr>
                <w:rFonts w:ascii="Times New Roman" w:eastAsia="宋体"/>
              </w:rPr>
              <m:t>π+1)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