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mgR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mgR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45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g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p>
            </m:sSup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Bdv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mgR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mgR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15</m:t>
            </m:r>
            <m:r>
              <w:rPr>
                <w:rFonts w:ascii="Times New Roman" w:eastAsia="宋体"/>
              </w:rPr>
              <m:t>mgR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15</m:t>
            </m:r>
            <m:r>
              <w:rPr>
                <w:rFonts w:ascii="Times New Roman" w:eastAsia="宋体"/>
              </w:rPr>
              <m:t>mgR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Bd</m:t>
                </m:r>
                <m:r>
                  <m:rPr>
                    <m:sty m:val="p"/>
                  </m:rPr>
                  <w:rPr>
                    <w:rFonts w:ascii="Times New Roman" w:eastAsia="宋体"/>
                  </w:rPr>
                  <m:t>Δ</m:t>
                </m:r>
                <m:r>
                  <w:rPr>
                    <w:rFonts w:ascii="Times New Roman" w:eastAsia="宋体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Δ</m:t>
                </m:r>
                <m:r>
                  <w:rPr>
                    <w:rFonts w:ascii="Times New Roman" w:eastAsia="宋体"/>
                  </w:rPr>
                  <m:t>t</m:t>
                </m:r>
              </m:den>
            </m:f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45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g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