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A2023222Z9L2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61616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61616" cy="835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835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有</w:t>
      </w:r>
      <w:r>
        <w:rPr>
          <w:rFonts w:ascii="Times New Roman" w:hAnsi="Times New Roman" w:eastAsia="宋体"/>
          <w:b w:val="0"/>
          <w:vertAlign w:val="subscript"/>
        </w:rPr>
        <w:t>效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39140" cy="7528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75285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